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A764E" w14:textId="3C58647B" w:rsidR="00566DE4" w:rsidRDefault="00566DE4" w:rsidP="00596EAD">
      <w:pPr>
        <w:rPr>
          <w:rFonts w:ascii="Times New Roman" w:hAnsi="Times New Roman" w:cs="Times New Roman"/>
          <w:b/>
          <w:bCs/>
          <w:sz w:val="24"/>
          <w:szCs w:val="24"/>
        </w:rPr>
      </w:pPr>
      <w:r w:rsidRPr="00566DE4">
        <w:rPr>
          <w:rFonts w:ascii="Times New Roman" w:hAnsi="Times New Roman" w:cs="Times New Roman"/>
          <w:b/>
          <w:bCs/>
          <w:sz w:val="24"/>
          <w:szCs w:val="24"/>
        </w:rPr>
        <w:t>„</w:t>
      </w:r>
      <w:r w:rsidR="00F015C7">
        <w:rPr>
          <w:rFonts w:ascii="Times New Roman" w:hAnsi="Times New Roman" w:cs="Times New Roman"/>
          <w:b/>
          <w:bCs/>
          <w:sz w:val="24"/>
          <w:szCs w:val="24"/>
        </w:rPr>
        <w:t xml:space="preserve">O możliwości zastosowania modelu Harolda </w:t>
      </w:r>
      <w:proofErr w:type="spellStart"/>
      <w:r w:rsidR="00F015C7">
        <w:rPr>
          <w:rFonts w:ascii="Times New Roman" w:hAnsi="Times New Roman" w:cs="Times New Roman"/>
          <w:b/>
          <w:bCs/>
          <w:sz w:val="24"/>
          <w:szCs w:val="24"/>
        </w:rPr>
        <w:t>Garfinkela</w:t>
      </w:r>
      <w:proofErr w:type="spellEnd"/>
      <w:r w:rsidR="00F015C7">
        <w:rPr>
          <w:rFonts w:ascii="Times New Roman" w:hAnsi="Times New Roman" w:cs="Times New Roman"/>
          <w:b/>
          <w:bCs/>
          <w:sz w:val="24"/>
          <w:szCs w:val="24"/>
        </w:rPr>
        <w:t xml:space="preserve"> w psychoterapii. Psychospołeczne spojrzenie na psychoterapię zaburzeń tożsamości wśród adolescentów. Między psychologią a socjologią</w:t>
      </w:r>
      <w:r w:rsidR="00C8489D">
        <w:rPr>
          <w:rFonts w:ascii="Times New Roman" w:hAnsi="Times New Roman" w:cs="Times New Roman"/>
          <w:b/>
          <w:bCs/>
          <w:sz w:val="24"/>
          <w:szCs w:val="24"/>
        </w:rPr>
        <w:t>”</w:t>
      </w:r>
    </w:p>
    <w:p w14:paraId="65B3C325" w14:textId="64C853B0" w:rsidR="00E5739F" w:rsidRDefault="00300B4E" w:rsidP="007D048C">
      <w:pPr>
        <w:rPr>
          <w:rFonts w:ascii="Times New Roman" w:hAnsi="Times New Roman" w:cs="Times New Roman"/>
          <w:sz w:val="24"/>
          <w:szCs w:val="24"/>
        </w:rPr>
      </w:pPr>
      <w:r>
        <w:rPr>
          <w:rFonts w:ascii="Times New Roman" w:hAnsi="Times New Roman" w:cs="Times New Roman"/>
          <w:sz w:val="24"/>
          <w:szCs w:val="24"/>
        </w:rPr>
        <w:tab/>
      </w:r>
      <w:r w:rsidR="00F015C7">
        <w:rPr>
          <w:rFonts w:ascii="Times New Roman" w:hAnsi="Times New Roman" w:cs="Times New Roman"/>
          <w:sz w:val="24"/>
          <w:szCs w:val="24"/>
        </w:rPr>
        <w:t xml:space="preserve">Niniejszy artykuł przedstawia próbę praktycznego zastosowania modelu Harolda </w:t>
      </w:r>
      <w:proofErr w:type="spellStart"/>
      <w:r w:rsidR="00F015C7">
        <w:rPr>
          <w:rFonts w:ascii="Times New Roman" w:hAnsi="Times New Roman" w:cs="Times New Roman"/>
          <w:sz w:val="24"/>
          <w:szCs w:val="24"/>
        </w:rPr>
        <w:t>Garfinkela</w:t>
      </w:r>
      <w:proofErr w:type="spellEnd"/>
      <w:r w:rsidR="00F015C7">
        <w:rPr>
          <w:rFonts w:ascii="Times New Roman" w:hAnsi="Times New Roman" w:cs="Times New Roman"/>
          <w:sz w:val="24"/>
          <w:szCs w:val="24"/>
        </w:rPr>
        <w:t xml:space="preserve"> w praktyce psychoterapeutycznej. Zawarte jest w nim ciekawe spojrzenie na zaburzenie tożsamości i sposoby terapii – autoterapii. Przywołany casus Agnes – mężczyzny w ciele kobiety. Duży nacisk położony został na podmiotowość pacjenta. </w:t>
      </w:r>
    </w:p>
    <w:p w14:paraId="41EE7BBF" w14:textId="64DC799F" w:rsidR="00F015C7" w:rsidRDefault="00F015C7" w:rsidP="007D048C">
      <w:pPr>
        <w:rPr>
          <w:rFonts w:ascii="Times New Roman" w:hAnsi="Times New Roman" w:cs="Times New Roman"/>
          <w:sz w:val="24"/>
          <w:szCs w:val="24"/>
        </w:rPr>
      </w:pPr>
      <w:r>
        <w:rPr>
          <w:rFonts w:ascii="Times New Roman" w:hAnsi="Times New Roman" w:cs="Times New Roman"/>
          <w:sz w:val="24"/>
          <w:szCs w:val="24"/>
        </w:rPr>
        <w:tab/>
        <w:t>Granica między objawami, jakie możemy uznać za symptomy choroby psychicznej, a jakie nie – jest płynna. Istnieją ludzie potocznie uważani za zdrowych, których umysły są z gruntu wypaczone i którzy mogą być równie lub bardziej niebezpieczni dla siebie i innych. Społeczeństwo nie uznaje ich jednak za osobowości psychotyczne – za ludzi, którzy w istocie</w:t>
      </w:r>
      <w:r w:rsidR="005F16EB">
        <w:rPr>
          <w:rFonts w:ascii="Times New Roman" w:hAnsi="Times New Roman" w:cs="Times New Roman"/>
          <w:sz w:val="24"/>
          <w:szCs w:val="24"/>
        </w:rPr>
        <w:t xml:space="preserve"> powinni znaleźć się w domach dla obłąkanych. (…) Spękany umysł schizofrenika może być otwarty na światło, które nie ma dostępu do umysłu ludzi zdrowych psychicznie, lecz zamkniętych w sobie. (M. </w:t>
      </w:r>
      <w:proofErr w:type="spellStart"/>
      <w:r w:rsidR="005F16EB">
        <w:rPr>
          <w:rFonts w:ascii="Times New Roman" w:hAnsi="Times New Roman" w:cs="Times New Roman"/>
          <w:sz w:val="24"/>
          <w:szCs w:val="24"/>
        </w:rPr>
        <w:t>Karpinski</w:t>
      </w:r>
      <w:proofErr w:type="spellEnd"/>
      <w:r w:rsidR="005F16EB">
        <w:rPr>
          <w:rFonts w:ascii="Times New Roman" w:hAnsi="Times New Roman" w:cs="Times New Roman"/>
          <w:sz w:val="24"/>
          <w:szCs w:val="24"/>
        </w:rPr>
        <w:t>, za: P. Grenda 2009).</w:t>
      </w:r>
    </w:p>
    <w:p w14:paraId="2818CE29" w14:textId="0D1935C5" w:rsidR="005F16EB" w:rsidRDefault="005F16EB" w:rsidP="007D048C">
      <w:pPr>
        <w:rPr>
          <w:rFonts w:ascii="Times New Roman" w:hAnsi="Times New Roman" w:cs="Times New Roman"/>
          <w:sz w:val="24"/>
          <w:szCs w:val="24"/>
        </w:rPr>
      </w:pPr>
      <w:r>
        <w:rPr>
          <w:rFonts w:ascii="Times New Roman" w:hAnsi="Times New Roman" w:cs="Times New Roman"/>
          <w:sz w:val="24"/>
          <w:szCs w:val="24"/>
        </w:rPr>
        <w:tab/>
        <w:t xml:space="preserve">Zachowanie danej osoby może być przez jedynych odbierane jako normalne, przez drugich – jako nienormalne. Dlatego może być symptomem choroby, ale i jednocześnie sposobem radzenia sobie w życiu. W świecie społecznym zacierają się granice. Tłumaczy to koncepcja anomii społecznej Roberta K. </w:t>
      </w:r>
      <w:proofErr w:type="spellStart"/>
      <w:r>
        <w:rPr>
          <w:rFonts w:ascii="Times New Roman" w:hAnsi="Times New Roman" w:cs="Times New Roman"/>
          <w:sz w:val="24"/>
          <w:szCs w:val="24"/>
        </w:rPr>
        <w:t>Mertona</w:t>
      </w:r>
      <w:proofErr w:type="spellEnd"/>
      <w:r>
        <w:rPr>
          <w:rFonts w:ascii="Times New Roman" w:hAnsi="Times New Roman" w:cs="Times New Roman"/>
          <w:sz w:val="24"/>
          <w:szCs w:val="24"/>
        </w:rPr>
        <w:t xml:space="preserve"> (R. K. </w:t>
      </w:r>
      <w:proofErr w:type="spellStart"/>
      <w:r>
        <w:rPr>
          <w:rFonts w:ascii="Times New Roman" w:hAnsi="Times New Roman" w:cs="Times New Roman"/>
          <w:sz w:val="24"/>
          <w:szCs w:val="24"/>
        </w:rPr>
        <w:t>Merton</w:t>
      </w:r>
      <w:proofErr w:type="spellEnd"/>
      <w:r>
        <w:rPr>
          <w:rFonts w:ascii="Times New Roman" w:hAnsi="Times New Roman" w:cs="Times New Roman"/>
          <w:sz w:val="24"/>
          <w:szCs w:val="24"/>
        </w:rPr>
        <w:t xml:space="preserve"> 2002, s. 225-228)</w:t>
      </w:r>
    </w:p>
    <w:p w14:paraId="72F3BA3C" w14:textId="0C9A4562" w:rsidR="00865ABA" w:rsidRDefault="00865ABA" w:rsidP="007D048C">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Etnometodologia</w:t>
      </w:r>
      <w:proofErr w:type="spellEnd"/>
      <w:r>
        <w:rPr>
          <w:rFonts w:ascii="Times New Roman" w:hAnsi="Times New Roman" w:cs="Times New Roman"/>
          <w:sz w:val="24"/>
          <w:szCs w:val="24"/>
        </w:rPr>
        <w:t xml:space="preserve"> leżąca u podstaw teoretycznych poniższego artykułu zaliczana jest głównie do filozofii nauk społecznych. Wywodzi się z takich filozoficznych nurtów, jak: pragmatyzm (A. Kłoskowska 1975, s. 533-536), fenomenologii (J. Szacki 2002, s. 482) traktuje o metodach towarzyszących codziennym praktycznym rozumowaniom i sposobom postępowania (D. Dobrzański 1999, s. 12). Podstawą teoretyczną </w:t>
      </w:r>
      <w:proofErr w:type="spellStart"/>
      <w:r>
        <w:rPr>
          <w:rFonts w:ascii="Times New Roman" w:hAnsi="Times New Roman" w:cs="Times New Roman"/>
          <w:sz w:val="24"/>
          <w:szCs w:val="24"/>
        </w:rPr>
        <w:t>etnometodologii</w:t>
      </w:r>
      <w:proofErr w:type="spellEnd"/>
      <w:r>
        <w:rPr>
          <w:rFonts w:ascii="Times New Roman" w:hAnsi="Times New Roman" w:cs="Times New Roman"/>
          <w:sz w:val="24"/>
          <w:szCs w:val="24"/>
        </w:rPr>
        <w:t xml:space="preserve"> są artykuły Harolda </w:t>
      </w:r>
      <w:proofErr w:type="spellStart"/>
      <w:r>
        <w:rPr>
          <w:rFonts w:ascii="Times New Roman" w:hAnsi="Times New Roman" w:cs="Times New Roman"/>
          <w:sz w:val="24"/>
          <w:szCs w:val="24"/>
        </w:rPr>
        <w:t>Garfinkela</w:t>
      </w:r>
      <w:proofErr w:type="spellEnd"/>
      <w:r>
        <w:rPr>
          <w:rFonts w:ascii="Times New Roman" w:hAnsi="Times New Roman" w:cs="Times New Roman"/>
          <w:sz w:val="24"/>
          <w:szCs w:val="24"/>
        </w:rPr>
        <w:t xml:space="preserve"> opublikowane w latach 1960-1964. Z jednej strony krytyka obecnej socjologii, z drugiej zwrot w kierunku eksperymentom były podstawą nowego nurtu. Przedmiotem analiz były widoczne i ukryte założenia obecne w modelach wyjaśniania zjawisk społecznych (D. Dobrzański, 1999, s.11). Wspierane były też przez Alvina W. </w:t>
      </w:r>
      <w:proofErr w:type="spellStart"/>
      <w:r>
        <w:rPr>
          <w:rFonts w:ascii="Times New Roman" w:hAnsi="Times New Roman" w:cs="Times New Roman"/>
          <w:sz w:val="24"/>
          <w:szCs w:val="24"/>
        </w:rPr>
        <w:t>Gouldnera</w:t>
      </w:r>
      <w:proofErr w:type="spellEnd"/>
      <w:r>
        <w:rPr>
          <w:rFonts w:ascii="Times New Roman" w:hAnsi="Times New Roman" w:cs="Times New Roman"/>
          <w:sz w:val="24"/>
          <w:szCs w:val="24"/>
        </w:rPr>
        <w:t xml:space="preserve">. Kontynuatorem </w:t>
      </w:r>
      <w:proofErr w:type="spellStart"/>
      <w:r>
        <w:rPr>
          <w:rFonts w:ascii="Times New Roman" w:hAnsi="Times New Roman" w:cs="Times New Roman"/>
          <w:sz w:val="24"/>
          <w:szCs w:val="24"/>
        </w:rPr>
        <w:t>Garfinkela</w:t>
      </w:r>
      <w:proofErr w:type="spellEnd"/>
      <w:r>
        <w:rPr>
          <w:rFonts w:ascii="Times New Roman" w:hAnsi="Times New Roman" w:cs="Times New Roman"/>
          <w:sz w:val="24"/>
          <w:szCs w:val="24"/>
        </w:rPr>
        <w:t xml:space="preserve"> był także Aaron V. </w:t>
      </w:r>
      <w:proofErr w:type="spellStart"/>
      <w:r>
        <w:rPr>
          <w:rFonts w:ascii="Times New Roman" w:hAnsi="Times New Roman" w:cs="Times New Roman"/>
          <w:sz w:val="24"/>
          <w:szCs w:val="24"/>
        </w:rPr>
        <w:t>Cicourel</w:t>
      </w:r>
      <w:proofErr w:type="spellEnd"/>
      <w:r>
        <w:rPr>
          <w:rFonts w:ascii="Times New Roman" w:hAnsi="Times New Roman" w:cs="Times New Roman"/>
          <w:sz w:val="24"/>
          <w:szCs w:val="24"/>
        </w:rPr>
        <w:t xml:space="preserve">, który stosując </w:t>
      </w:r>
      <w:proofErr w:type="spellStart"/>
      <w:r>
        <w:rPr>
          <w:rFonts w:ascii="Times New Roman" w:hAnsi="Times New Roman" w:cs="Times New Roman"/>
          <w:sz w:val="24"/>
          <w:szCs w:val="24"/>
        </w:rPr>
        <w:t>garfinkelowskie</w:t>
      </w:r>
      <w:proofErr w:type="spellEnd"/>
      <w:r>
        <w:rPr>
          <w:rFonts w:ascii="Times New Roman" w:hAnsi="Times New Roman" w:cs="Times New Roman"/>
          <w:sz w:val="24"/>
          <w:szCs w:val="24"/>
        </w:rPr>
        <w:t xml:space="preserve"> założenia dotyczące ładu społecznego wysunął własne tezy związane z ładem mówienia (D. Dobrzański 1999, s. 12)</w:t>
      </w:r>
    </w:p>
    <w:p w14:paraId="47FFC95F" w14:textId="1ABFD269" w:rsidR="00865ABA" w:rsidRDefault="00865ABA" w:rsidP="007D048C">
      <w:pPr>
        <w:rPr>
          <w:rFonts w:ascii="Times New Roman" w:hAnsi="Times New Roman" w:cs="Times New Roman"/>
          <w:sz w:val="24"/>
          <w:szCs w:val="24"/>
        </w:rPr>
      </w:pPr>
      <w:r>
        <w:rPr>
          <w:rFonts w:ascii="Times New Roman" w:hAnsi="Times New Roman" w:cs="Times New Roman"/>
          <w:sz w:val="24"/>
          <w:szCs w:val="24"/>
        </w:rPr>
        <w:tab/>
        <w:t xml:space="preserve">Dalszymi kontynuatorami byli: Egon Bittner, David </w:t>
      </w:r>
      <w:proofErr w:type="spellStart"/>
      <w:r>
        <w:rPr>
          <w:rFonts w:ascii="Times New Roman" w:hAnsi="Times New Roman" w:cs="Times New Roman"/>
          <w:sz w:val="24"/>
          <w:szCs w:val="24"/>
        </w:rPr>
        <w:t>Sudbow</w:t>
      </w:r>
      <w:proofErr w:type="spellEnd"/>
      <w:r>
        <w:rPr>
          <w:rFonts w:ascii="Times New Roman" w:hAnsi="Times New Roman" w:cs="Times New Roman"/>
          <w:sz w:val="24"/>
          <w:szCs w:val="24"/>
        </w:rPr>
        <w:t xml:space="preserve">, Lawrence </w:t>
      </w:r>
      <w:proofErr w:type="spellStart"/>
      <w:r>
        <w:rPr>
          <w:rFonts w:ascii="Times New Roman" w:hAnsi="Times New Roman" w:cs="Times New Roman"/>
          <w:sz w:val="24"/>
          <w:szCs w:val="24"/>
        </w:rPr>
        <w:t>Wieder</w:t>
      </w:r>
      <w:proofErr w:type="spellEnd"/>
      <w:r>
        <w:rPr>
          <w:rFonts w:ascii="Times New Roman" w:hAnsi="Times New Roman" w:cs="Times New Roman"/>
          <w:sz w:val="24"/>
          <w:szCs w:val="24"/>
        </w:rPr>
        <w:t xml:space="preserve">, Melvin </w:t>
      </w:r>
      <w:proofErr w:type="spellStart"/>
      <w:r>
        <w:rPr>
          <w:rFonts w:ascii="Times New Roman" w:hAnsi="Times New Roman" w:cs="Times New Roman"/>
          <w:sz w:val="24"/>
          <w:szCs w:val="24"/>
        </w:rPr>
        <w:t>Pollner</w:t>
      </w:r>
      <w:proofErr w:type="spellEnd"/>
      <w:r>
        <w:rPr>
          <w:rFonts w:ascii="Times New Roman" w:hAnsi="Times New Roman" w:cs="Times New Roman"/>
          <w:sz w:val="24"/>
          <w:szCs w:val="24"/>
        </w:rPr>
        <w:t xml:space="preserve">, Harvey </w:t>
      </w:r>
      <w:proofErr w:type="spellStart"/>
      <w:r>
        <w:rPr>
          <w:rFonts w:ascii="Times New Roman" w:hAnsi="Times New Roman" w:cs="Times New Roman"/>
          <w:sz w:val="24"/>
          <w:szCs w:val="24"/>
        </w:rPr>
        <w:t>Sacks</w:t>
      </w:r>
      <w:proofErr w:type="spellEnd"/>
      <w:r>
        <w:rPr>
          <w:rFonts w:ascii="Times New Roman" w:hAnsi="Times New Roman" w:cs="Times New Roman"/>
          <w:sz w:val="24"/>
          <w:szCs w:val="24"/>
        </w:rPr>
        <w:t xml:space="preserve"> i Don </w:t>
      </w:r>
      <w:proofErr w:type="spellStart"/>
      <w:r>
        <w:rPr>
          <w:rFonts w:ascii="Times New Roman" w:hAnsi="Times New Roman" w:cs="Times New Roman"/>
          <w:sz w:val="24"/>
          <w:szCs w:val="24"/>
        </w:rPr>
        <w:t>Zimmerman</w:t>
      </w:r>
      <w:proofErr w:type="spellEnd"/>
      <w:r>
        <w:rPr>
          <w:rFonts w:ascii="Times New Roman" w:hAnsi="Times New Roman" w:cs="Times New Roman"/>
          <w:sz w:val="24"/>
          <w:szCs w:val="24"/>
        </w:rPr>
        <w:t>. Pracowali oni nad zagadnieniem ładu społecznego w koncepcji podstawowych oczekiwań.</w:t>
      </w:r>
    </w:p>
    <w:p w14:paraId="79709C3E" w14:textId="15B0DE7B" w:rsidR="00865ABA" w:rsidRDefault="00865ABA" w:rsidP="007D048C">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Etnometodologia</w:t>
      </w:r>
      <w:proofErr w:type="spellEnd"/>
      <w:r>
        <w:rPr>
          <w:rFonts w:ascii="Times New Roman" w:hAnsi="Times New Roman" w:cs="Times New Roman"/>
          <w:sz w:val="24"/>
          <w:szCs w:val="24"/>
        </w:rPr>
        <w:t xml:space="preserve"> bazuje także na założeniach interakcjonizmu Herberta  </w:t>
      </w:r>
      <w:proofErr w:type="spellStart"/>
      <w:r>
        <w:rPr>
          <w:rFonts w:ascii="Times New Roman" w:hAnsi="Times New Roman" w:cs="Times New Roman"/>
          <w:sz w:val="24"/>
          <w:szCs w:val="24"/>
        </w:rPr>
        <w:t>Blumera</w:t>
      </w:r>
      <w:proofErr w:type="spellEnd"/>
      <w:r>
        <w:rPr>
          <w:rFonts w:ascii="Times New Roman" w:hAnsi="Times New Roman" w:cs="Times New Roman"/>
          <w:sz w:val="24"/>
          <w:szCs w:val="24"/>
        </w:rPr>
        <w:t xml:space="preserve">, czy </w:t>
      </w:r>
      <w:proofErr w:type="spellStart"/>
      <w:r>
        <w:rPr>
          <w:rFonts w:ascii="Times New Roman" w:hAnsi="Times New Roman" w:cs="Times New Roman"/>
          <w:sz w:val="24"/>
          <w:szCs w:val="24"/>
        </w:rPr>
        <w:t>Ervinga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Goffmana</w:t>
      </w:r>
      <w:proofErr w:type="spellEnd"/>
      <w:r>
        <w:rPr>
          <w:rFonts w:ascii="Times New Roman" w:hAnsi="Times New Roman" w:cs="Times New Roman"/>
          <w:sz w:val="24"/>
          <w:szCs w:val="24"/>
        </w:rPr>
        <w:t>, co implikuje badania życia codziennego – w powyższym podejściu.</w:t>
      </w:r>
    </w:p>
    <w:p w14:paraId="562F10A8" w14:textId="76AF7A88" w:rsidR="00865ABA" w:rsidRDefault="00865ABA" w:rsidP="007D048C">
      <w:pPr>
        <w:rPr>
          <w:rFonts w:ascii="Times New Roman" w:hAnsi="Times New Roman" w:cs="Times New Roman"/>
          <w:sz w:val="24"/>
          <w:szCs w:val="24"/>
        </w:rPr>
      </w:pPr>
      <w:r>
        <w:rPr>
          <w:rFonts w:ascii="Times New Roman" w:hAnsi="Times New Roman" w:cs="Times New Roman"/>
          <w:sz w:val="24"/>
          <w:szCs w:val="24"/>
        </w:rPr>
        <w:tab/>
        <w:t xml:space="preserve">Po krótkim przedstawieniu genezy </w:t>
      </w:r>
      <w:proofErr w:type="spellStart"/>
      <w:r>
        <w:rPr>
          <w:rFonts w:ascii="Times New Roman" w:hAnsi="Times New Roman" w:cs="Times New Roman"/>
          <w:sz w:val="24"/>
          <w:szCs w:val="24"/>
        </w:rPr>
        <w:t>etnometodologii</w:t>
      </w:r>
      <w:proofErr w:type="spellEnd"/>
      <w:r>
        <w:rPr>
          <w:rFonts w:ascii="Times New Roman" w:hAnsi="Times New Roman" w:cs="Times New Roman"/>
          <w:sz w:val="24"/>
          <w:szCs w:val="24"/>
        </w:rPr>
        <w:t xml:space="preserve"> można przedstawić główne teoretyczne założenia badań </w:t>
      </w:r>
      <w:proofErr w:type="spellStart"/>
      <w:r>
        <w:rPr>
          <w:rFonts w:ascii="Times New Roman" w:hAnsi="Times New Roman" w:cs="Times New Roman"/>
          <w:sz w:val="24"/>
          <w:szCs w:val="24"/>
        </w:rPr>
        <w:t>etnometodologicznych</w:t>
      </w:r>
      <w:proofErr w:type="spellEnd"/>
      <w:r>
        <w:rPr>
          <w:rFonts w:ascii="Times New Roman" w:hAnsi="Times New Roman" w:cs="Times New Roman"/>
          <w:sz w:val="24"/>
          <w:szCs w:val="24"/>
        </w:rPr>
        <w:t>. Z punktu widzenia problematyki artykułu istotny będzie pierwszy obszar działań – badanie życia codziennego (D. Dobrzański, 1999, s.15).</w:t>
      </w:r>
    </w:p>
    <w:p w14:paraId="2A1C4088" w14:textId="2D1CA584" w:rsidR="00865ABA" w:rsidRDefault="00865ABA" w:rsidP="007D048C">
      <w:pPr>
        <w:rPr>
          <w:rFonts w:ascii="Times New Roman" w:hAnsi="Times New Roman" w:cs="Times New Roman"/>
          <w:sz w:val="24"/>
          <w:szCs w:val="24"/>
        </w:rPr>
      </w:pPr>
      <w:r>
        <w:rPr>
          <w:rFonts w:ascii="Times New Roman" w:hAnsi="Times New Roman" w:cs="Times New Roman"/>
          <w:sz w:val="24"/>
          <w:szCs w:val="24"/>
        </w:rPr>
        <w:tab/>
        <w:t>Każde działanie praktyczne ma swoje założenia teoretyczne. Przedstawione tezy wywodzące się z socjologii czy fenomenologii, nie służą jedynie do rekonstruowania czy konstruowania konkretnych obrazów społecznych – na przykład choroby psychicznej. Nie stanowią jedynie podstaw teoretycznych metodologii badań dotyczących prefabrykowania (zafałszowywania) rzeczywistości społecznej.</w:t>
      </w:r>
    </w:p>
    <w:p w14:paraId="792EF371" w14:textId="6530BE7E" w:rsidR="00865ABA" w:rsidRDefault="00865ABA" w:rsidP="00865ABA">
      <w:pPr>
        <w:ind w:firstLine="708"/>
        <w:rPr>
          <w:rFonts w:ascii="Times New Roman" w:hAnsi="Times New Roman" w:cs="Times New Roman"/>
          <w:sz w:val="24"/>
          <w:szCs w:val="24"/>
        </w:rPr>
      </w:pPr>
      <w:r>
        <w:rPr>
          <w:rFonts w:ascii="Times New Roman" w:hAnsi="Times New Roman" w:cs="Times New Roman"/>
          <w:sz w:val="24"/>
          <w:szCs w:val="24"/>
        </w:rPr>
        <w:t>Wypracowany model teoretyczny w powyższym artykule ma swoje zastosowanie w konstruowaniu skutecznego podejścia psychoterapeutycznego. Jeśli chodzi o koncepcje psychologiczne – najbliższa mojemu stanowisku – jest psychologia poznawcza.</w:t>
      </w:r>
    </w:p>
    <w:p w14:paraId="622B59D4" w14:textId="78711234" w:rsidR="00865ABA" w:rsidRDefault="00865ABA" w:rsidP="00865ABA">
      <w:pPr>
        <w:ind w:firstLine="708"/>
        <w:rPr>
          <w:rFonts w:ascii="Times New Roman" w:hAnsi="Times New Roman" w:cs="Times New Roman"/>
          <w:sz w:val="24"/>
          <w:szCs w:val="24"/>
        </w:rPr>
      </w:pPr>
      <w:r>
        <w:rPr>
          <w:rFonts w:ascii="Times New Roman" w:hAnsi="Times New Roman" w:cs="Times New Roman"/>
          <w:sz w:val="24"/>
          <w:szCs w:val="24"/>
        </w:rPr>
        <w:t xml:space="preserve">Za koncepcją </w:t>
      </w:r>
      <w:proofErr w:type="spellStart"/>
      <w:r>
        <w:rPr>
          <w:rFonts w:ascii="Times New Roman" w:hAnsi="Times New Roman" w:cs="Times New Roman"/>
          <w:sz w:val="24"/>
          <w:szCs w:val="24"/>
        </w:rPr>
        <w:t>Garfinkela</w:t>
      </w:r>
      <w:proofErr w:type="spellEnd"/>
      <w:r>
        <w:rPr>
          <w:rFonts w:ascii="Times New Roman" w:hAnsi="Times New Roman" w:cs="Times New Roman"/>
          <w:sz w:val="24"/>
          <w:szCs w:val="24"/>
        </w:rPr>
        <w:t xml:space="preserve"> przemawia też praktyczny wymiar jego dociekań. Jego badania dostarczają istotnych wskazówek do pracy z adolescentami przejawiającymi zaburzenia tożsamości. Poznanie </w:t>
      </w:r>
      <w:proofErr w:type="spellStart"/>
      <w:r>
        <w:rPr>
          <w:rFonts w:ascii="Times New Roman" w:hAnsi="Times New Roman" w:cs="Times New Roman"/>
          <w:sz w:val="24"/>
          <w:szCs w:val="24"/>
        </w:rPr>
        <w:t>autoodzwierciedlenia</w:t>
      </w:r>
      <w:proofErr w:type="spellEnd"/>
      <w:r>
        <w:rPr>
          <w:rFonts w:ascii="Times New Roman" w:hAnsi="Times New Roman" w:cs="Times New Roman"/>
          <w:sz w:val="24"/>
          <w:szCs w:val="24"/>
        </w:rPr>
        <w:t xml:space="preserve"> zaburzenia – o charakterze subiektywnym umożliwia przytoczony </w:t>
      </w:r>
      <w:proofErr w:type="spellStart"/>
      <w:r>
        <w:rPr>
          <w:rFonts w:ascii="Times New Roman" w:hAnsi="Times New Roman" w:cs="Times New Roman"/>
          <w:sz w:val="24"/>
          <w:szCs w:val="24"/>
        </w:rPr>
        <w:t>cazus</w:t>
      </w:r>
      <w:proofErr w:type="spellEnd"/>
      <w:r>
        <w:rPr>
          <w:rFonts w:ascii="Times New Roman" w:hAnsi="Times New Roman" w:cs="Times New Roman"/>
          <w:sz w:val="24"/>
          <w:szCs w:val="24"/>
        </w:rPr>
        <w:t xml:space="preserve"> Agnes – dzięki sprawnie działającym funkcjom poznawczym bohaterki dzieła </w:t>
      </w:r>
      <w:proofErr w:type="spellStart"/>
      <w:r>
        <w:rPr>
          <w:rFonts w:ascii="Times New Roman" w:hAnsi="Times New Roman" w:cs="Times New Roman"/>
          <w:sz w:val="24"/>
          <w:szCs w:val="24"/>
        </w:rPr>
        <w:t>Garfinkela</w:t>
      </w:r>
      <w:proofErr w:type="spellEnd"/>
      <w:r>
        <w:rPr>
          <w:rFonts w:ascii="Times New Roman" w:hAnsi="Times New Roman" w:cs="Times New Roman"/>
          <w:sz w:val="24"/>
          <w:szCs w:val="24"/>
        </w:rPr>
        <w:t xml:space="preserve"> – uzyskujemy wgląd w poznawcze funkcjonowanie kobiety w ciele mężczyzny. Pozwala to poznać ogólny mechanizm zaburzenia tożsamości płciowej, co stanowi ciekawą wskazówkę dla każdego psychoterapeuty. Żeby pomagać drugiej osobie musimy dokładnie poznać jej świat. Aby móc go choć trochę doświadczyć, trzeba najpierw poczuć go na swojej skórze. Chodzi o tak zwaną socjologiczną przekładalność perspektyw, a więc wyobrażenie sobie myśl</w:t>
      </w:r>
      <w:r w:rsidR="00FA605C">
        <w:rPr>
          <w:rFonts w:ascii="Times New Roman" w:hAnsi="Times New Roman" w:cs="Times New Roman"/>
          <w:sz w:val="24"/>
          <w:szCs w:val="24"/>
        </w:rPr>
        <w:t>i partnera naszej interakcji. W związku z czym kluczowa będzie także kategoria jaźni odzwierciedlonej.</w:t>
      </w:r>
    </w:p>
    <w:p w14:paraId="7F4A5D0D" w14:textId="76AD4C6B" w:rsidR="00FA605C" w:rsidRPr="00457A86" w:rsidRDefault="00FA605C" w:rsidP="00865ABA">
      <w:pPr>
        <w:ind w:firstLine="708"/>
        <w:rPr>
          <w:rFonts w:ascii="Times New Roman" w:hAnsi="Times New Roman" w:cs="Times New Roman"/>
          <w:sz w:val="24"/>
          <w:szCs w:val="24"/>
        </w:rPr>
      </w:pPr>
      <w:r>
        <w:rPr>
          <w:rFonts w:ascii="Times New Roman" w:hAnsi="Times New Roman" w:cs="Times New Roman"/>
          <w:sz w:val="24"/>
          <w:szCs w:val="24"/>
        </w:rPr>
        <w:t xml:space="preserve">Warsztat zawiera praktyczne ćwiczenia, składające się z praktyk stosowanych przez Agnes Harolda </w:t>
      </w:r>
      <w:proofErr w:type="spellStart"/>
      <w:r>
        <w:rPr>
          <w:rFonts w:ascii="Times New Roman" w:hAnsi="Times New Roman" w:cs="Times New Roman"/>
          <w:sz w:val="24"/>
          <w:szCs w:val="24"/>
        </w:rPr>
        <w:t>Garfinkela</w:t>
      </w:r>
      <w:proofErr w:type="spellEnd"/>
      <w:r>
        <w:rPr>
          <w:rFonts w:ascii="Times New Roman" w:hAnsi="Times New Roman" w:cs="Times New Roman"/>
          <w:sz w:val="24"/>
          <w:szCs w:val="24"/>
        </w:rPr>
        <w:t xml:space="preserve"> – by być pełnoprawnym członkiem społeczeństwa – pełnoprawną kobietą. Pozwala poznać przyszłym terapeutom autentyczny sposób funkcjonowania w świecie społecznym. Warsztat przedstawia przełożenie Psychoterapii Integrowanej </w:t>
      </w:r>
      <w:proofErr w:type="spellStart"/>
      <w:r>
        <w:rPr>
          <w:rFonts w:ascii="Times New Roman" w:hAnsi="Times New Roman" w:cs="Times New Roman"/>
          <w:sz w:val="24"/>
          <w:szCs w:val="24"/>
        </w:rPr>
        <w:t>Konblocha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Knoblochova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Knoblochow</w:t>
      </w:r>
      <w:proofErr w:type="spellEnd"/>
      <w:r>
        <w:rPr>
          <w:rFonts w:ascii="Times New Roman" w:hAnsi="Times New Roman" w:cs="Times New Roman"/>
          <w:sz w:val="24"/>
          <w:szCs w:val="24"/>
        </w:rPr>
        <w:t xml:space="preserve"> 1993, za: S. </w:t>
      </w:r>
      <w:proofErr w:type="spellStart"/>
      <w:r>
        <w:rPr>
          <w:rFonts w:ascii="Times New Roman" w:hAnsi="Times New Roman" w:cs="Times New Roman"/>
          <w:sz w:val="24"/>
          <w:szCs w:val="24"/>
        </w:rPr>
        <w:t>Kratochvil</w:t>
      </w:r>
      <w:proofErr w:type="spellEnd"/>
      <w:r>
        <w:rPr>
          <w:rFonts w:ascii="Times New Roman" w:hAnsi="Times New Roman" w:cs="Times New Roman"/>
          <w:sz w:val="24"/>
          <w:szCs w:val="24"/>
        </w:rPr>
        <w:t xml:space="preserve">, przekł. M. </w:t>
      </w:r>
      <w:proofErr w:type="spellStart"/>
      <w:r>
        <w:rPr>
          <w:rFonts w:ascii="Times New Roman" w:hAnsi="Times New Roman" w:cs="Times New Roman"/>
          <w:sz w:val="24"/>
          <w:szCs w:val="24"/>
        </w:rPr>
        <w:t>Czabak</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Matuska</w:t>
      </w:r>
      <w:proofErr w:type="spellEnd"/>
      <w:r>
        <w:rPr>
          <w:rFonts w:ascii="Times New Roman" w:hAnsi="Times New Roman" w:cs="Times New Roman"/>
          <w:sz w:val="24"/>
          <w:szCs w:val="24"/>
        </w:rPr>
        <w:t>, 2003, s. 128-129).</w:t>
      </w:r>
    </w:p>
    <w:sectPr w:rsidR="00FA605C" w:rsidRPr="00457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930A74"/>
    <w:multiLevelType w:val="hybridMultilevel"/>
    <w:tmpl w:val="5FBE5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A461B08"/>
    <w:multiLevelType w:val="hybridMultilevel"/>
    <w:tmpl w:val="580C5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8712488">
    <w:abstractNumId w:val="0"/>
  </w:num>
  <w:num w:numId="2" w16cid:durableId="110476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9B"/>
    <w:rsid w:val="000B00AF"/>
    <w:rsid w:val="001108C8"/>
    <w:rsid w:val="00181161"/>
    <w:rsid w:val="002E7E11"/>
    <w:rsid w:val="00300B4E"/>
    <w:rsid w:val="00346CA9"/>
    <w:rsid w:val="003C5D47"/>
    <w:rsid w:val="0041074E"/>
    <w:rsid w:val="00430256"/>
    <w:rsid w:val="00435E6D"/>
    <w:rsid w:val="00457A86"/>
    <w:rsid w:val="00566DE4"/>
    <w:rsid w:val="00584BBA"/>
    <w:rsid w:val="00596EAD"/>
    <w:rsid w:val="005F16EB"/>
    <w:rsid w:val="005F21E6"/>
    <w:rsid w:val="00616BB5"/>
    <w:rsid w:val="006B04A5"/>
    <w:rsid w:val="006B313E"/>
    <w:rsid w:val="007D048C"/>
    <w:rsid w:val="00823994"/>
    <w:rsid w:val="0085027F"/>
    <w:rsid w:val="00865ABA"/>
    <w:rsid w:val="008A4069"/>
    <w:rsid w:val="009177E0"/>
    <w:rsid w:val="009B446D"/>
    <w:rsid w:val="00B22265"/>
    <w:rsid w:val="00B67D9B"/>
    <w:rsid w:val="00C8489D"/>
    <w:rsid w:val="00CD34F0"/>
    <w:rsid w:val="00DF30CA"/>
    <w:rsid w:val="00E5739F"/>
    <w:rsid w:val="00E926D5"/>
    <w:rsid w:val="00EC35BF"/>
    <w:rsid w:val="00ED1A66"/>
    <w:rsid w:val="00EF0FE3"/>
    <w:rsid w:val="00F015C7"/>
    <w:rsid w:val="00F12AFC"/>
    <w:rsid w:val="00F77DA3"/>
    <w:rsid w:val="00FA605C"/>
    <w:rsid w:val="00FD2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ED44"/>
  <w15:chartTrackingRefBased/>
  <w15:docId w15:val="{5F1E77CA-1153-4FAA-B70A-720F54E6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2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710</Words>
  <Characters>4262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zmaciuk</dc:creator>
  <cp:keywords/>
  <dc:description/>
  <cp:lastModifiedBy>zmaciuk</cp:lastModifiedBy>
  <cp:revision>3</cp:revision>
  <dcterms:created xsi:type="dcterms:W3CDTF">2024-07-24T16:47:00Z</dcterms:created>
  <dcterms:modified xsi:type="dcterms:W3CDTF">2024-07-25T14:22:00Z</dcterms:modified>
</cp:coreProperties>
</file>